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299" w:line="240" w:lineRule="auto"/>
        <w:outlineLvl w:val="3"/>
        <w:rPr>
          <w:rFonts w:ascii="Arial" w:eastAsia="Times New Roman" w:hAnsi="Arial" w:cs="Arial"/>
          <w:color w:val="FF0000"/>
          <w:sz w:val="33"/>
          <w:szCs w:val="33"/>
          <w:bdr w:val="single" w:sz="2" w:space="0" w:color="E1E1E1" w:frame="1"/>
          <w:shd w:val="clear" w:color="auto" w:fill="FFFFFF"/>
        </w:rPr>
      </w:pPr>
      <w:r w:rsidRPr="00D22AC4">
        <w:rPr>
          <w:rFonts w:ascii="Arial" w:eastAsia="Times New Roman" w:hAnsi="Arial" w:cs="Arial"/>
          <w:color w:val="FF0000"/>
          <w:sz w:val="33"/>
          <w:szCs w:val="33"/>
          <w:bdr w:val="single" w:sz="2" w:space="0" w:color="E1E1E1" w:frame="1"/>
          <w:shd w:val="clear" w:color="auto" w:fill="FFFFFF"/>
        </w:rPr>
        <w:t>8 Temmuz 2017 TMGD Sınav Soru Ve Cevapları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1. Aşağıdaki Hangi Durum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ADR’ye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Göre Güvenlik Planı Hazırlanması Gerekmektedir?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A.IBC ile 10.000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UN 1203 maddesi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B.Ambalajlı olarak 1.000 kg UN 0316 maddesi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C.Dökme olarak 3.500 kg. UN 2440 maddesi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D.Ambalajlı olarak 1.000 kilogram UN 2321 maddesi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E.Tank içinde 50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UN 1005 maddesinin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2. Aşağıdaki Taşımalardan Hangileri </w:t>
      </w:r>
      <w:proofErr w:type="spellStart"/>
      <w:r w:rsidRPr="00D22AC4">
        <w:rPr>
          <w:rFonts w:ascii="Arial" w:eastAsia="Times New Roman" w:hAnsi="Arial" w:cs="Arial"/>
          <w:color w:val="333333"/>
        </w:rPr>
        <w:t>ADR’nin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Tüm Kurallarından Muaftır?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200 litre kaplarda taşınan UN 3065 PG III olan madde.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30 ml kaplarda taşınan UN 2037 Sınıflandırma Kodu 5TC olan madde.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İç ambalajı 1 litre olan UN 3216 maddesi.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IV. UN 1203 maddesini içermiş boş ve temizlenmemiş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IBC’nin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herhangi bir zararı sıfırlayacak yeterli önlemler alınarak taşınması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V. Sadece zehirli olmayan bileşenler içeren ve 50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ml’yi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aşmayan kapasitedeki sınıflandırma kodu 5F olan AEROSOLLAR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III ve IV   B. I, III ve V   C. II, III ve IV   D. II ve IV   E. 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3. Sürücü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Yazılı Talimat Hazırlanması Aşağıdaki Hangi Durum/Durumlarda Zorunludur?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UN 1965 maddesinin 11 kg.lık 10 tüple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1A1 ambalajında 200 litrelik UN 1203 maddesinin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1500 kg.lık ambalajlarda UN 2909 maddesinin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Tehlikeli malların dökme olarak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Araca turuncu plaka takılmasını gerektiren miktarlarda tehlikeli maddelerin taşınmasında.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IV ve V   B. II, IV ve V   C. Sadece V   D. III ve IV   E.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4. Aşağıdaki Maddelerden Hangisinin </w:t>
      </w:r>
      <w:proofErr w:type="spellStart"/>
      <w:r w:rsidRPr="00D22AC4">
        <w:rPr>
          <w:rFonts w:ascii="Arial" w:eastAsia="Times New Roman" w:hAnsi="Arial" w:cs="Arial"/>
          <w:color w:val="333333"/>
        </w:rPr>
        <w:t>ADR’ye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Göre Taşınması Yasak Değildir?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Kullanılmış sülfürik asidin kimyasal olarak kararsız karışımları.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B. Uyumluluk Grubu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K’deki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nesneler.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Soğutularak sıvılaştırılmış 3A, 3O veya 3F sınıfına atanmış gazlar.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Sudan başka bir sıvı içeren klorik asit karışımları.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E. Kütlece % 72’den fazla saf asitli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perklorik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asit sulu çözeltisi.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5. Aşağıdaki Durumlardan Hangilerinde, </w:t>
      </w:r>
      <w:proofErr w:type="spellStart"/>
      <w:r w:rsidRPr="00D22AC4">
        <w:rPr>
          <w:rFonts w:ascii="Arial" w:eastAsia="Times New Roman" w:hAnsi="Arial" w:cs="Arial"/>
          <w:color w:val="333333"/>
        </w:rPr>
        <w:t>ADR’ye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Göre Hazırlanacak Raporla Olayların Bildirilmesi Mecburiyeti Bulunmaktadır?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333 kg UN 2904 döküntüsü.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65 kg UN 2900 döküntüsü.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III. 50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UN 1758 sızıntısı.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UN 2238 taşıyan aracın motor sisteminin 68.000 Euro’luk hasarı.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lastRenderedPageBreak/>
        <w:t>V. Taşınan tehlikeli maddeden kaynaklanan vaka sonucunda kamu yollarının (karayolu/tren yolu) en az üç saat süreyle kapatılması.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III ve V   B. I, II ve III   C. II, III ve IV   D. II, III ve V   E.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6. Tehlikeli Madde Taşımacılığında Kullanılan Araçlarla </w:t>
      </w:r>
      <w:proofErr w:type="spellStart"/>
      <w:r w:rsidRPr="00D22AC4">
        <w:rPr>
          <w:rFonts w:ascii="Arial" w:eastAsia="Times New Roman" w:hAnsi="Arial" w:cs="Arial"/>
          <w:color w:val="333333"/>
        </w:rPr>
        <w:t>Ilgili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Aşağıdakilerden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Ambalajlı olarak tehlikeli madde taşıyacak EX/II, EX/III, MEMU, FL, OX, AT tipi tüm araçlar için onay sertifikası düzenlenmelidir.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Vakumla çalışan atık tankerlerine yönelik onay sertifikasında “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vacuum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operated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waste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tank-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vehicle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>(vakumla çalışan atık tankeri)” ibaresi yazmalıdır.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EX/III araçlarında elektrik devresini kesme şalteri akünün mümkün olabildiğince uzağına yerleştirilmelidir.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FL ve EX/III tipi araçlar için gerekli olan akü ana şalterinin kablo bağlantıları IP54 koruma derecesine sahip olmalıdır.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V.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MEMU’lar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içindeki özel bölmelerin kilitlerle donatılması ek emniyet zorunluluğudur.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II, III ve IV   C. II, III ve V   D. II, IV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7. Parlama Noktası 21 °C, Kaynama Noktası 40 °C Olan Bir Madde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Oral Yoldan Zehirliliği LD50 6 Mg/Kg Olan Diğer Bir Madde Karıştırılarak </w:t>
      </w:r>
      <w:proofErr w:type="spellStart"/>
      <w:r w:rsidRPr="00D22AC4">
        <w:rPr>
          <w:rFonts w:ascii="Arial" w:eastAsia="Times New Roman" w:hAnsi="Arial" w:cs="Arial"/>
          <w:color w:val="333333"/>
        </w:rPr>
        <w:t>Pestisit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Elde Ediliyor. Bu Yeni Üründen Sabit Bir Tankta 3.500 </w:t>
      </w:r>
      <w:proofErr w:type="spellStart"/>
      <w:r w:rsidRPr="00D22AC4">
        <w:rPr>
          <w:rFonts w:ascii="Arial" w:eastAsia="Times New Roman" w:hAnsi="Arial" w:cs="Arial"/>
          <w:color w:val="333333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Taşınmak </w:t>
      </w:r>
      <w:proofErr w:type="spellStart"/>
      <w:r w:rsidRPr="00D22AC4">
        <w:rPr>
          <w:rFonts w:ascii="Arial" w:eastAsia="Times New Roman" w:hAnsi="Arial" w:cs="Arial"/>
          <w:color w:val="333333"/>
        </w:rPr>
        <w:t>Isteniyor</w:t>
      </w:r>
      <w:proofErr w:type="spellEnd"/>
      <w:r w:rsidRPr="00D22AC4">
        <w:rPr>
          <w:rFonts w:ascii="Arial" w:eastAsia="Times New Roman" w:hAnsi="Arial" w:cs="Arial"/>
          <w:color w:val="333333"/>
        </w:rPr>
        <w:t>. Buna Göre Aşağıdaki Hükümlerden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Tehlike ikaz levhaları aracın iki yanına ve arkasına takılır.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Dolum ve boşaltım öncesinde statik elektriklenmeyi engellemek amacıyla araçta topraklama yapılır.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Bu ürün AT tipi araçlarla taşınır.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Bu ürünü taşıyan araç sadece A ve B kategorisindeki tünellerden geçebilir.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V. Bu ürün taşındıktan sonra tankın yeniden kullanılabilmesi için mutlaka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dezenfekte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edilmesi gerekir.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I, II ve V   D. II, III ve IV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8. UN 2211 Maddesinin Taşınması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I. Ambalajlı olarak taşındığında, ambalajların ADR Bölüm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6.1’de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belirtilen performans testlerini karşılaması zorunlu değildir.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Taşıma evrakında, maddenin uygun sevkiyat adından sonra sınıf numarası yer almalıdır.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Ambalajların üzerine “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Keep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away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from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any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source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of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ignition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(Herhangi bir ateş kaynağından uzak durun)” yazılmalıdır.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Bu maddenin dökme olarak taşınmasında sadece örtülü araçlar kullanılabilir.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Bu maddenin taşınmasında kullanılan araçların yeterli bir havalandırmaya sahip olmasına gerek yoktur.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III ve IV   B. I, II ve V   C. II, III ve V   D. I, II ve III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9. UN 3065, Ambalajlama Grubu III Olan Tehlikeli Maddenin 1.100 Litresinin Taşınması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Sabit tankta taşınması halinde tüm ADR hükümlerinden muaftır.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II. 3.000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kapasiteli sökülebilir tankta taşınmasında, araca tehlike tanımlama numarası ve UN numarası bulunan turuncu plakanın takılması gerekir.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lastRenderedPageBreak/>
        <w:t xml:space="preserve">III. 1.500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hacme sahip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IBC’de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taşınmasında araca boş turuncu plakanın takılması gerekir.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IV. 5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kapasiteli cam ambalajlar içinde ve brüt ağırlığı 20 kg olan kombine ambalajlarda taşınması durumunda bazı ADR şartlarından muaf tutulabilir.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V. 3.000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hacmi olan tank-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konteynerde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taşınması için, FL tipi aracın kullanılması gerekir.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IV ve V   B. I ve V   C. I, II ve III   D. II, III ve IV   E.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>10. UN 1965 (Karışım A) Maddesinin, Hacmi 20.000 Litre Olan Tank-</w:t>
      </w:r>
      <w:proofErr w:type="spellStart"/>
      <w:r w:rsidRPr="00D22AC4">
        <w:rPr>
          <w:rFonts w:ascii="Arial" w:eastAsia="Times New Roman" w:hAnsi="Arial" w:cs="Arial"/>
          <w:color w:val="333333"/>
        </w:rPr>
        <w:t>Konteynerde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Taşınması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Ilgili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Tank kodu asgari seviyesi P10BN olmalıdır.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Azami 9.000 kg gaz doldurulabilir.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Tank-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konteyneri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taşıyacak aracın ADR Uygunluk Belgesinin olması gerekir.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Tank-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konteylerin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her iki yanına, önüne ve arkasına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2.2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no.lu tehlike ikaz levhası takılmalıdır.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Aracın önüne ve arkasına boş turuncu plaka yerleştirilmiş ise iki yan tarafına, tehlike tanımlama numarası 23 ve UN numarası 1965 olan yazılı turuncu plakalar takılmalıdır.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I, III ve V   D. II, III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>11. Aşağıdaki Maddelerden Hangisi Diğer Maddelerle Birlikte Ambalajlanamaz?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UN 2993 (PG III)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UN 2482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UN 2305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UN 2429 (PG II)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E. UN 2920 (PG I)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12. Bir Araçta Ambalajlar Halinde Toplamda 100 </w:t>
      </w:r>
      <w:proofErr w:type="spellStart"/>
      <w:r w:rsidRPr="00D22AC4">
        <w:rPr>
          <w:rFonts w:ascii="Arial" w:eastAsia="Times New Roman" w:hAnsi="Arial" w:cs="Arial"/>
          <w:color w:val="333333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UN 2603, 300 Kg UN 2802 Ve 5 Kg UN 2806 Taşınmaktadır. Bu Taşıma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Aşağıdakilerden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Bu araçta en az 2 kg yangın tüpü olmalıdır.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Bu aracın ön ve arkasında boş turuncu plaka olmalıdır.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Şoförün ADR Sürücü Belgesine sahip olmasına gerek yoktur.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Kullanılan ambalajların UN sertifikalı olmasına gerek yoktur.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Araçta yazılı talimatın bulundurulması zorunludur.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III ve IV   C. I ve III   D. II ve III   E. 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>13. Aşağıda Verilen Tehlikeli Maddelerin Ambalajlama Hükümlerinden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UN 0101 için, çelik kutu veya variller kullanılabilir.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UN 1791 PG II taşıyan ambalaj havalandırılmalıdır.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UN 1363 için herhangi bir toz geçirmez ve yırtılmaz kap kullanılabilir.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UN 3474 için, metal ambalajlar kullanılabilir.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UN 0094 için, bir iç ambalaja maddeden en fazla 50 gr. konacaktır.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III ve V   C. II, III ve IV   D. II, III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lastRenderedPageBreak/>
        <w:t xml:space="preserve">14. UN 1545 Taşıyan Araçta Bulunması Gereken </w:t>
      </w:r>
      <w:proofErr w:type="spellStart"/>
      <w:r w:rsidRPr="00D22AC4">
        <w:rPr>
          <w:rFonts w:ascii="Arial" w:eastAsia="Times New Roman" w:hAnsi="Arial" w:cs="Arial"/>
          <w:color w:val="333333"/>
        </w:rPr>
        <w:t>Ilave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Koruyucu Teçhizat (Donanım) Aşağıdakilerden Hangileridir?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Toplama kabı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İki adet dikilebilir ikaz işareti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Kürek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Göz durulama sıvısı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Araç ekibinin her bir üyesi için bir acil durum maskesi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II, III ve IV   B. I, III, IV ve V   C. I, III ve V   D. II, III ve V   E. Hepsi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15. Aşağıdaki Maddeleri </w:t>
      </w:r>
      <w:proofErr w:type="spellStart"/>
      <w:r w:rsidRPr="00D22AC4">
        <w:rPr>
          <w:rFonts w:ascii="Arial" w:eastAsia="Times New Roman" w:hAnsi="Arial" w:cs="Arial"/>
          <w:color w:val="333333"/>
        </w:rPr>
        <w:t>Içeren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Ambalajlardan Hangi </w:t>
      </w:r>
      <w:proofErr w:type="spellStart"/>
      <w:r w:rsidRPr="00D22AC4">
        <w:rPr>
          <w:rFonts w:ascii="Arial" w:eastAsia="Times New Roman" w:hAnsi="Arial" w:cs="Arial"/>
          <w:color w:val="333333"/>
        </w:rPr>
        <w:t>Ikisinin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Birlikte Yüklenmesine </w:t>
      </w:r>
      <w:proofErr w:type="spellStart"/>
      <w:r w:rsidRPr="00D22AC4">
        <w:rPr>
          <w:rFonts w:ascii="Arial" w:eastAsia="Times New Roman" w:hAnsi="Arial" w:cs="Arial"/>
          <w:color w:val="333333"/>
        </w:rPr>
        <w:t>Izin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Verilir?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UN 0486 ile UN 0414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UN 0503 ile UN 3268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UN 0486 ile UN 0473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UN 0408 ile UN 3072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UN 0193 ile UN 3101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II, III ve IV   B. I, II, III ve V   C. I, II ve IV   D. I, II ve V   E. II,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>16. Aşağıdaki Belge Sahibi Sürücü, Aşağıda Verilen Hangi Tehlikeli Maddeleri Taşıyan Aracı Kullanabilir?</w:t>
      </w:r>
    </w:p>
    <w:p w:rsidR="00D22AC4" w:rsidRPr="00D22AC4" w:rsidRDefault="00D22AC4" w:rsidP="00D22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68135" cy="7616825"/>
            <wp:effectExtent l="19050" t="0" r="0" b="0"/>
            <wp:docPr id="1021" name="Resim 1021" descr="http://tmgakademi.com/img/sections/slider/8temmuz-adr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http://tmgakademi.com/img/sections/slider/8temmuz-adr-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UN 2881 PG III – dökme halinde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UN 0454 – ambalajlı olarak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UN 2917 – ambalajlı olarak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UN 0332– portatif (taşınabilir) tankta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UN 2900 – ambalajlı olarak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I, II ve V   D. II, III ve IV   E. II, III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lastRenderedPageBreak/>
        <w:t xml:space="preserve">17. Ambalaj (Basınçlı Varil)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Taşınan UN 1081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Aşağıdakilerden Hangisi Yanlıştır?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Bu madde alevlenir bir gazdır.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Bu maddenin sınıflandırma kodu 2F’dir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Bu varilin periyodik muayenesi için azami test süresi 10 yıl’dır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Bu varilin azami test basıncı 10 bar’dır.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E. Bu varil 5 barı geçmeyen bir çalışma basıncına kadar doldurulmalıdır.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18. Tehlike </w:t>
      </w:r>
      <w:proofErr w:type="spellStart"/>
      <w:r w:rsidRPr="00D22AC4">
        <w:rPr>
          <w:rFonts w:ascii="Arial" w:eastAsia="Times New Roman" w:hAnsi="Arial" w:cs="Arial"/>
          <w:color w:val="333333"/>
        </w:rPr>
        <w:t>Ikaz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Levhası Takılması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Ilgili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Hükümlerden Hangisi Yanlıştır?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A. UN 1455 maddesi dökme olarak taşındığında aracın her iki yanı ve arka tarafına Sınıf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5.1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tehlike ikaz levhası takılmalıdır.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UN 1395 maddesini boşaltan temizlenmemiş ve gazdan arındırılmamış boş bir tank-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konteynerin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her iki yanına ve her bir ucuna Sınıf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4.3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ve Sınıf 6.1 tehlike ikaz levhaları takılmalıdır.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C. UN 0289 ile UN 0281 maddeleri aynı araçta taşındığında söz konusu araca Sınıf 1’e ait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1.2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tehlike ikaz levhası takılmalıdır.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D. % 0,1 kalsiyum karbür içeren UN 1403 maddesini taşıyan portatif (taşınabilir) tankın her iki yanına ve her bir ucuna Sınıf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4.3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tehlike ikaz levhaları takılmalıdır.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E. Alevlenir gazlar için geçerli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kriterleri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karşılamayan METİL KLORÜR VE METİLEN KLORÜR KARIŞIMI taşıyan tank-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konteynerin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her iki yanına ve her bir ucuna “alevlenmeyen, zehirsiz gazlar” tehlike ikaz levhası takılmalıdır.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19. 31HA1/Y/07 16/TR/TSE </w:t>
      </w:r>
      <w:proofErr w:type="gramStart"/>
      <w:r w:rsidRPr="00D22AC4">
        <w:rPr>
          <w:rFonts w:ascii="Arial" w:eastAsia="Times New Roman" w:hAnsi="Arial" w:cs="Arial"/>
          <w:color w:val="333333"/>
        </w:rPr>
        <w:t>122/2700/500</w:t>
      </w:r>
      <w:proofErr w:type="gramEnd"/>
      <w:r w:rsidRPr="00D22AC4">
        <w:rPr>
          <w:rFonts w:ascii="Arial" w:eastAsia="Times New Roman" w:hAnsi="Arial" w:cs="Arial"/>
          <w:color w:val="333333"/>
        </w:rPr>
        <w:t xml:space="preserve"> Sertifikasyon </w:t>
      </w:r>
      <w:proofErr w:type="spellStart"/>
      <w:r w:rsidRPr="00D22AC4">
        <w:rPr>
          <w:rFonts w:ascii="Arial" w:eastAsia="Times New Roman" w:hAnsi="Arial" w:cs="Arial"/>
          <w:color w:val="333333"/>
        </w:rPr>
        <w:t>Işaretine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Sahip OHK (IBC)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Aşağıdakilerden Hangileri Doğru </w:t>
      </w:r>
      <w:proofErr w:type="spellStart"/>
      <w:r w:rsidRPr="00D22AC4">
        <w:rPr>
          <w:rFonts w:ascii="Arial" w:eastAsia="Times New Roman" w:hAnsi="Arial" w:cs="Arial"/>
          <w:color w:val="333333"/>
        </w:rPr>
        <w:t>Ifade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Edilmiştir?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Bu ambalajla sadece sıvı maddeler taşınabilir.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II. Bu ambalaj ile 460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lt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UN 1222 maddesi taşınabilir.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Bu ambalaj üzerine aynı ambalajdan (dolu olarak) 3 adet istiflenebilir.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Bu ambalaj paketleme grubu II ve III olan tehlikeli maddelerin taşınmasında kullanılabilir.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Bu ambalaj üzerine aynı ambalajdan (dolu olarak) 4 adet istiflenebilir.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II, III ve IV   B. I, II, IV ve V   C. I, III ve IV   D. I, IV ve V   E. II, III ve IV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>20. Doldurma Dereceleri/Oranı Açısından Aşağıdakilerden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I. 15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oC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doldurma sıcaklığı durumunda başlangıç kaynama noktası 50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oC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olan bir sıvı tehlikeli madde ambalajı kapasitesinin en fazla % 92’ sine kadar doldurulabilir.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Basınçlı varillere doldurulduğunda UN 1011 BUTAN, kapasitenin en fazla % 52’sine kadar doldurulabilir.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Portatif(taşınabilir) tanklara doldurulduğunda UN 1011 BUTAN, tank kapasitesinin en fazla % 51’ine kadar doldurulabilir.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Portatif (taşınabilir) tanklara doldurulduğunda UN 3340 maddesi tank kapasitesinin en fazla % 84’üne kadar doldurulabilir.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UN 1965 HİDROKARBON GAZ KARIŞIMI, SIVILAŞTIRILMIŞ, B.B.B. KARIŞIM C maddesinin azami içerik kütlesi % 42’dir.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IV ve V   C. II, III ve V   D. II, IV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21. Tüm Bilgileri Aşağıdaki Metal Levha Üzerine </w:t>
      </w:r>
      <w:proofErr w:type="spellStart"/>
      <w:r w:rsidRPr="00D22AC4">
        <w:rPr>
          <w:rFonts w:ascii="Arial" w:eastAsia="Times New Roman" w:hAnsi="Arial" w:cs="Arial"/>
          <w:color w:val="333333"/>
        </w:rPr>
        <w:t>Işaretlenmiş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Olan Bir Sabit Tankta, Aşağıdaki Tehlikeli Maddelerden Hangileri Taşınabilir?</w:t>
      </w:r>
    </w:p>
    <w:p w:rsidR="00D22AC4" w:rsidRPr="00D22AC4" w:rsidRDefault="00D22AC4" w:rsidP="00D22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68135" cy="7616825"/>
            <wp:effectExtent l="19050" t="0" r="0" b="0"/>
            <wp:docPr id="1022" name="Resim 1022" descr="http://tmgakademi.com/img/sections/slider/8temmuz-adr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http://tmgakademi.com/img/sections/slider/8temmuz-adr-2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UN 1203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UN 3257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UN 2621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UN 1133, PG I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UN 2612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 ve III   D. II, III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lastRenderedPageBreak/>
        <w:t>22. Aşağıdakilerden Hangileri Taşıma Evrakında Doğru Şekilde Yazılmıştır?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UN 0077 DİNİTROFENOLATLAR, 1.3C (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6.1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>), (C5000D)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II. UN 0077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Dinitrofenolatlar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>, 1.3C (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6.1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>), (C5000D)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UN 1965 HİDROKARBON GAZ KARIŞIMI, SIVILAŞTIRILMIŞ, B.B.B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.,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2.1, (B/D)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UN 3314 Plastik Kalıp Bileşiği, 9, III, (D/E)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V. UN 2900 BULAŞICI MADDE, YALNIZCA HAYVAN SAĞLIĞINI ETKİLEYEN,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6.2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>, PGII, (E)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I, III ve IV   D. I, III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23. </w:t>
      </w:r>
      <w:proofErr w:type="spellStart"/>
      <w:r w:rsidRPr="00D22AC4">
        <w:rPr>
          <w:rFonts w:ascii="Arial" w:eastAsia="Times New Roman" w:hAnsi="Arial" w:cs="Arial"/>
          <w:color w:val="333333"/>
        </w:rPr>
        <w:t>Yozgat’da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Bulunan Çapanoğlu Kimyasal Firmasında “İBUCA” </w:t>
      </w:r>
      <w:proofErr w:type="spellStart"/>
      <w:r w:rsidRPr="00D22AC4">
        <w:rPr>
          <w:rFonts w:ascii="Arial" w:eastAsia="Times New Roman" w:hAnsi="Arial" w:cs="Arial"/>
          <w:color w:val="333333"/>
        </w:rPr>
        <w:t>Isimli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Zehirli Sıvı Bir Kimyasal Ürün Üretilmektedir. Başlangıç Kaynama Noktası 56 ˚C Ve Parlama Noktası (Kapalı Kap) 19 ˚C Olan Ürünün Aynı Zamanda 55 </w:t>
      </w:r>
      <w:proofErr w:type="spellStart"/>
      <w:r w:rsidRPr="00D22AC4">
        <w:rPr>
          <w:rFonts w:ascii="Arial" w:eastAsia="Times New Roman" w:hAnsi="Arial" w:cs="Arial"/>
          <w:color w:val="333333"/>
        </w:rPr>
        <w:t>˚C’lik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Test Sıcaklığında Çelik Ve Alüminyum Yüzeylerde Yapılan Testler Sonucunda Yılda 6.25 </w:t>
      </w:r>
      <w:proofErr w:type="spellStart"/>
      <w:r w:rsidRPr="00D22AC4">
        <w:rPr>
          <w:rFonts w:ascii="Arial" w:eastAsia="Times New Roman" w:hAnsi="Arial" w:cs="Arial"/>
          <w:color w:val="333333"/>
        </w:rPr>
        <w:t>Mm’yi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Geçen Bir Aşınma Hızı Etkisi Mevcuttur. Bu Ürün 2 Litrelik </w:t>
      </w:r>
      <w:proofErr w:type="spellStart"/>
      <w:r w:rsidRPr="00D22AC4">
        <w:rPr>
          <w:rFonts w:ascii="Arial" w:eastAsia="Times New Roman" w:hAnsi="Arial" w:cs="Arial"/>
          <w:color w:val="333333"/>
        </w:rPr>
        <w:t>Iç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Ambalajlarda, 20 </w:t>
      </w:r>
      <w:proofErr w:type="spellStart"/>
      <w:r w:rsidRPr="00D22AC4">
        <w:rPr>
          <w:rFonts w:ascii="Arial" w:eastAsia="Times New Roman" w:hAnsi="Arial" w:cs="Arial"/>
          <w:color w:val="333333"/>
        </w:rPr>
        <w:t>Kg’lık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Dış Paketler </w:t>
      </w:r>
      <w:proofErr w:type="spellStart"/>
      <w:r w:rsidRPr="00D22AC4">
        <w:rPr>
          <w:rFonts w:ascii="Arial" w:eastAsia="Times New Roman" w:hAnsi="Arial" w:cs="Arial"/>
          <w:color w:val="333333"/>
        </w:rPr>
        <w:t>Içinde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Ve Toplam 900 Litre Olarak Araca Yüklenerek </w:t>
      </w:r>
      <w:proofErr w:type="spellStart"/>
      <w:r w:rsidRPr="00D22AC4">
        <w:rPr>
          <w:rFonts w:ascii="Arial" w:eastAsia="Times New Roman" w:hAnsi="Arial" w:cs="Arial"/>
          <w:color w:val="333333"/>
        </w:rPr>
        <w:t>Yozgat’dan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Kırşehir’e Gönderilecektir. Bu Taşımacılık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İç ambalaj için cam, dış ambalaj için 4H2 kullanılabilir.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Taşıma evrakı düzenlemeye gerek yoktur.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III. Ambalaj üzerinde Sınıf 3, Sınıf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6.1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ve Sınıf 8’e ait tehlike ikaz etiketleri bulunmalıdır.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Araç bu taşımacılık sırasında kaza geçirmiş ve 20 adet dış paket zarar görmüş ve bu paketlerdeki ürünler tamamen dökülmüştür. Bu durumda olay bildirim raporu yazılması gerekmektedir.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Aracın önüne ve arkasına boş turuncu renkli plaka takılmalıdır.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 xml:space="preserve">A. I, II ve III   B. I, </w:t>
      </w:r>
      <w:proofErr w:type="gramStart"/>
      <w:r w:rsidRPr="00D22AC4">
        <w:rPr>
          <w:rFonts w:ascii="Arial" w:eastAsia="Times New Roman" w:hAnsi="Arial" w:cs="Arial"/>
          <w:b/>
          <w:bCs/>
          <w:color w:val="333333"/>
          <w:sz w:val="19"/>
        </w:rPr>
        <w:t>II,</w:t>
      </w:r>
      <w:proofErr w:type="gramEnd"/>
      <w:r w:rsidRPr="00D22AC4">
        <w:rPr>
          <w:rFonts w:ascii="Arial" w:eastAsia="Times New Roman" w:hAnsi="Arial" w:cs="Arial"/>
          <w:b/>
          <w:bCs/>
          <w:color w:val="333333"/>
          <w:sz w:val="19"/>
        </w:rPr>
        <w:t xml:space="preserve"> ve IV   C. II, III ve IV   D. I, III, IV ve V   E. Hepsi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24. Bir </w:t>
      </w:r>
      <w:proofErr w:type="spellStart"/>
      <w:r w:rsidRPr="00D22AC4">
        <w:rPr>
          <w:rFonts w:ascii="Arial" w:eastAsia="Times New Roman" w:hAnsi="Arial" w:cs="Arial"/>
          <w:color w:val="333333"/>
        </w:rPr>
        <w:t>Işletmede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Başlangıç Kaynama Noktası 30˚C Ve Deri Yoluyla Zehirlilik LD50 Değeri 40(Mg/Kg) Olan </w:t>
      </w:r>
      <w:proofErr w:type="spellStart"/>
      <w:r w:rsidRPr="00D22AC4">
        <w:rPr>
          <w:rFonts w:ascii="Arial" w:eastAsia="Times New Roman" w:hAnsi="Arial" w:cs="Arial"/>
          <w:color w:val="333333"/>
        </w:rPr>
        <w:t>Pestisit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Bir Madde Üretilmektedir. Bu Madde Samsun’dan Ankara’ya Taşınmak </w:t>
      </w:r>
      <w:proofErr w:type="spellStart"/>
      <w:r w:rsidRPr="00D22AC4">
        <w:rPr>
          <w:rFonts w:ascii="Arial" w:eastAsia="Times New Roman" w:hAnsi="Arial" w:cs="Arial"/>
          <w:color w:val="333333"/>
        </w:rPr>
        <w:t>Istenmektedir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. Bu Taşıma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Ilgili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T11 portatif tank(taşınabilir) talimatına uygun bir portatif tank ile taşınır.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Bu ürün L10DH ADR tankı ile taşınabilir.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Yetkili makamların izin olmadan ortak alanlarda ve yerleşim mahallerinde yükleme ve boşaltma yapılması yasaktır.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Tankın kapamaları kilitlenebilir kapaklarla korunacaktır.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350 kg kapasiteli 4N ambalaj koduna sahip ambalaj ile taşınabilir.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II, III ve V   D. II ve IV   E.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>25. Aşağıda UN Numaraları Verilen Tehlikeli Maddelerden Hangisinde Taşıma Ünitesi Başına Miktar Sınırlaması Vardır?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UN 3224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UN 2926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UN 3356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lastRenderedPageBreak/>
        <w:t>D. UN 0337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E. UN 1322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26. Kale Kimyasal Firması Üretmekte Olduğu Bir Ürün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 Firmasından Tank </w:t>
      </w:r>
      <w:proofErr w:type="spellStart"/>
      <w:r w:rsidRPr="00D22AC4">
        <w:rPr>
          <w:rFonts w:ascii="Arial" w:eastAsia="Times New Roman" w:hAnsi="Arial" w:cs="Arial"/>
          <w:color w:val="333333"/>
        </w:rPr>
        <w:t>Konteyner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10.000 Kg </w:t>
      </w:r>
      <w:proofErr w:type="spellStart"/>
      <w:r w:rsidRPr="00D22AC4">
        <w:rPr>
          <w:rFonts w:ascii="Arial" w:eastAsia="Times New Roman" w:hAnsi="Arial" w:cs="Arial"/>
          <w:color w:val="333333"/>
        </w:rPr>
        <w:t>Propan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, B Firmasından </w:t>
      </w:r>
      <w:proofErr w:type="spellStart"/>
      <w:r w:rsidRPr="00D22AC4">
        <w:rPr>
          <w:rFonts w:ascii="Arial" w:eastAsia="Times New Roman" w:hAnsi="Arial" w:cs="Arial"/>
          <w:color w:val="333333"/>
        </w:rPr>
        <w:t>Ise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Başlangıç Kaynama Noktası 68 0C, Parlama Noktası 35 0C Olan 3.000 Kg Özütler Aromatik Sıvı Almaktadır. Bu </w:t>
      </w:r>
      <w:proofErr w:type="spellStart"/>
      <w:r w:rsidRPr="00D22AC4">
        <w:rPr>
          <w:rFonts w:ascii="Arial" w:eastAsia="Times New Roman" w:hAnsi="Arial" w:cs="Arial"/>
          <w:color w:val="333333"/>
        </w:rPr>
        <w:t>Iki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Maddeyi Kullanarak Ürettiği Yeni Ürünü Tahliye Düzeneği Olmayan Yeniden Doldurulamayan Gaz Kartuşlarına Doldurarak Pazara Sunmaktadır. Bu Proses Ve Taşımalar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Ilgili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Bilgilerden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I.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Propanı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tek seferde almak için göndereceği P23DN tank koduna sahip 20.000 litre kapasiteli tank-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konteyner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bu sevkiyat için uygundur.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Ürettiği yeni ürün UN 2037 (5F)’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dir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B firmasından alınan Özütler Sıvı Aromatik UN 1B1/Y1.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4/200/16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>/TR/TSE-008 tanımlama koduna sahip azami kapasitesi 450 litreyi geçmeyen ambalajla taşınabilir.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IV. Yeni üretilen tehlikeli maddenin ambalajlar ile alıcıya sevkiyatında taşıma evrakında gerekli diğer bilgilerin yanı sıra “UN 1950 AEROSOLLER,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2.1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>, (D)” bilgileri doğru olarak yazılmıştır.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Yeni ürünü taşıyan araç D tünelinden geçemez.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II, III ve V   D. II, IV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27. UN 3220 Maddesinin Taşınması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Ilgili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Aşağıdakilerden Hangileri Doğru </w:t>
      </w:r>
      <w:proofErr w:type="spellStart"/>
      <w:r w:rsidRPr="00D22AC4">
        <w:rPr>
          <w:rFonts w:ascii="Arial" w:eastAsia="Times New Roman" w:hAnsi="Arial" w:cs="Arial"/>
          <w:color w:val="333333"/>
        </w:rPr>
        <w:t>Ifade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Edilmiştir?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P4.9DH tank koduna sahip ısı yalıtımsız bir tank takas gövdesi ile taşınabilir.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II. Silindir ile taşınırken, aracın ön çapraz duvarına yerleştirilecek silindirler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sözkonusu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eksene dik olacaktır.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III. Portatif(taşınabilir) tankla taşındığında, 160 cm gövde çapına ve güneş korumasına sahip tankın azami izin verilen çalışma basıncı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27.5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bar olmalıdır.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Tüplü gaz tankeriyle taşınması durumunda tüplü gaz tankerinin kendisi ya da üzerinde bulunması zorunlu olan metal levha üzerinde tank kodu yer almalıdır.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Silindir grupları ile taşınması durumunda silindir grupların, periyodik muayenesinin azami test süresi 10 yıldır.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II, III ve IV   D. II, III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28. Tünel Kısıtlamaları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Ilgili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Hangisi Yanlıştır?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IMDG kod uyarınca işaretlenmiş ve 5000 kg. sınırlı miktarda ambalajlanmış yükü olan bir araç E tünelinden geçebilir.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Çok büyük patlama riski olan ve Uyumluluk Grubu A ve L patlayıcı maddeleri taşıyan bir araç B, C, D, E tünellerinden geçemez.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UN 1295 taşınmış, boş ve temizlenmemiş bidonları taşıyan bir araç için tünel sınırlaması yoktur.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Taşıma kategorisi muafiyeti kapsamında taşıma yapan bir araç tüm tünellerden geçebilir.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lastRenderedPageBreak/>
        <w:t>E. UN 1394 maddesini dökme olarak taşıyan araç D ve E tünellerinden geçemez. </w:t>
      </w:r>
      <w:r w:rsidRPr="00D22AC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D22AC4">
        <w:rPr>
          <w:rFonts w:ascii="Arial" w:eastAsia="Times New Roman" w:hAnsi="Arial" w:cs="Arial"/>
          <w:color w:val="333333"/>
          <w:sz w:val="19"/>
          <w:szCs w:val="19"/>
        </w:rPr>
        <w:br/>
      </w:r>
      <w:r>
        <w:rPr>
          <w:rFonts w:ascii="Arial" w:eastAsia="Times New Roman" w:hAnsi="Arial" w:cs="Arial"/>
          <w:noProof/>
          <w:color w:val="333333"/>
          <w:sz w:val="19"/>
          <w:szCs w:val="19"/>
        </w:rPr>
        <w:drawing>
          <wp:inline distT="0" distB="0" distL="0" distR="0">
            <wp:extent cx="9523730" cy="7616825"/>
            <wp:effectExtent l="19050" t="0" r="1270" b="0"/>
            <wp:docPr id="1023" name="Resim 1023" descr="http://tmgakademi.com/img/sections/slider/8temmuz-adr-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http://tmgakademi.com/img/sections/slider/8temmuz-adr-2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29. Yukarıdaki Ambalaj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Ilgili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Olarak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Hangileri Yanlıştır?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Bu ambalaj, 5 litrelik 25 adet cam iç ambalaj içinde PG III olan UN 1992 maddesini taşımak için uygundur.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lastRenderedPageBreak/>
        <w:t>II. % 40 hidrojen siyanür içeren UN 3294 maddesi, iç cam ambalajların tüm içeriği emmeye yetecek miktarda dolgu maddesine sahip olduğu metal kaplarda bu ambalajla taşınabilir.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Bu ambalaj, 5 litrelik 20 adet cam iç ambalaj içinde PENTAN-2,4-DİON maddesini taşımak için uygundur.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Bu ambalaj, 1 litrelik 15 adet cam iç ambalaj içinde GLİSİDALDEHİT maddesini taşımak için uygundur.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Ambalaj türünü gösteren kodun sonuna gelen W harfi nedeniyle bu ambalaj, EPİKLOROHİDRİN maddesinin taşınmasında kombine ambalaj olarak kullanılamaz.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I, II ve V   D. II, III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>30. PG I Olan UN 2801 Maddesi, Aşağıda Kodu Verilen Hangi Tankta Taşınabilir?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S4CN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L10CH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L1,5CH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LGBH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E. P10BH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>31. Tünel Kodu B Olan Bir Tünelden Aşağıdakilerden Hangisini Geçemez?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Tankta UN 1203 maddesi taşıyan araçlar.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Dökme olarak UN 1361 PG III maddesi taşıyan araçlar.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10 kg UN 0114 maddesi taşıyan araçlar.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Tankta UN 1935 PG II maddesi taşıyan araçlar.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E. UN 2498 maddesini ambalajlı şekilde taşıyan araçlar.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32. PG </w:t>
      </w:r>
      <w:proofErr w:type="spellStart"/>
      <w:r w:rsidRPr="00D22AC4">
        <w:rPr>
          <w:rFonts w:ascii="Arial" w:eastAsia="Times New Roman" w:hAnsi="Arial" w:cs="Arial"/>
          <w:color w:val="333333"/>
        </w:rPr>
        <w:t>III’e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Ait Bir Alevlenir Sıvı (Parlama Noktası 60 ˚C Altı)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PG </w:t>
      </w:r>
      <w:proofErr w:type="spellStart"/>
      <w:r w:rsidRPr="00D22AC4">
        <w:rPr>
          <w:rFonts w:ascii="Arial" w:eastAsia="Times New Roman" w:hAnsi="Arial" w:cs="Arial"/>
          <w:color w:val="333333"/>
        </w:rPr>
        <w:t>II’ye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Ait Bir Zehirli Madde Karıştırılmıştır. Yeni Madde Aşağıdakilerden Hangisi Olamaz?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UN 3071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UN 3080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UN 3275, PG II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UN 3009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E. UN 3279, PG II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33. Taşıma Esnasında Sıvılaşmaya Meyilli PG II Ve PG III Olan Katı Maddeler </w:t>
      </w:r>
      <w:proofErr w:type="spellStart"/>
      <w:r w:rsidRPr="00D22AC4">
        <w:rPr>
          <w:rFonts w:ascii="Arial" w:eastAsia="Times New Roman" w:hAnsi="Arial" w:cs="Arial"/>
          <w:color w:val="333333"/>
        </w:rPr>
        <w:t>Için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OHK(IBC)’</w:t>
      </w:r>
      <w:proofErr w:type="spellStart"/>
      <w:r w:rsidRPr="00D22AC4">
        <w:rPr>
          <w:rFonts w:ascii="Arial" w:eastAsia="Times New Roman" w:hAnsi="Arial" w:cs="Arial"/>
          <w:color w:val="333333"/>
        </w:rPr>
        <w:t>Lardan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Hangisi Kullanılabilir?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11C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21A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13H5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11HZ2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E. 13L4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34.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Hangisi Yanlıştır?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Soğutulmuş sıvılaştırılmış, 3A, 3O veya 3F sınıf koduna atanamayan gazlar taşıma için kabul edilmezler.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lastRenderedPageBreak/>
        <w:t>B. Parlama noktası 60 dereceden fazla olan, parlama noktasında veya üstündeki bir sıcaklıkta (yükseltilmiş sıcaklıktaki maddeler) taşınan veya taşıma için aktarılan alevlenir sıvılar F2’ye atanır.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C. Sınıf 2’deki maddeler ve nesneler, (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aerosoller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ve basınç altındaki kimyasallar hariç)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kriterlere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göre birçok tehlike grubuna ayrılırlar. Tehlike özellikleri gösteren gazlar ve gaz karışımlar için “F” harfi ile gösterilen gruplar tüm diğer grupların üstünde bir önceliğe sahiptir.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D. Duyarlılığı azaltılmış sıvı patlayıcılar Sınıf 3’e, duyarlılığı azaltılmış katı patlayıcılar Sınıf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4.1’e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atanır.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E.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Aerosoller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içerik bakımından, % 85 veya daha fazla alevlenir bileşen içerdiğinde ve yanmanın kimyasal ısısı 30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kJ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/g veya daha fazla olduğunda, grup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F’ye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atama yapılır.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35. Aynı Araçta Taşınması Gereken Net 1200 Kg. UN 0066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Net 1800 Kg. UN 0035 Maddeleri Açısından Aşağıdakilerden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Her iki madde aynı araçta taşınamaz.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II. Aracın ön ve arkasına boş turuncu plakalar, iki yanına ve arkasına ise model numarası “1” olan tehlike ikaz levhası üzerinde sadece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1.2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yazılarak takılmalıdır.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Bu taşımada EX II veya EX III tipi araçlar kullanılabilir.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Yükleme ve boşaltma işlemlerinin yerleşim mahallerinde yapılması durumunda yetkili kurumdan izin alınması gerekir.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Bu maddeler ile birlikte sınırlı miktarlarda paketlenmiş toplam 500 kg. UN 1090 maddesi aynı araçta taşınabilir.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 II, III ve IV   D. II, III ve V   E. III, IV ve V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36.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Hangisi Yanlıştır?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Duyarlılığı azaltılmış sıvı patlayıcılar Sınıf 3’ün alt gruplarındandır.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Küçük miktarlarda tehlikeli mal içeren tamir setleri M5 grubundadır.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C. Bulaşıcı, genetiği değiştirilmiş mikro organizmalar ve organizmalar Sınıf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6.2</w:t>
      </w:r>
      <w:proofErr w:type="gram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maddeleridir.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Havanın doğal neminin varlığında aşındırıcı duman üreten maddeler Sınıf 8 kapsamındadır.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E. Parlama noktası 62 °C olan katı amonyak bileşikleri Sınıf 9 kapsamındadır.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37. </w:t>
      </w:r>
      <w:proofErr w:type="spellStart"/>
      <w:r w:rsidRPr="00D22AC4">
        <w:rPr>
          <w:rFonts w:ascii="Arial" w:eastAsia="Times New Roman" w:hAnsi="Arial" w:cs="Arial"/>
          <w:color w:val="333333"/>
        </w:rPr>
        <w:t>Aerosol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Püskürtücüler (UN 1950)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22AC4">
        <w:rPr>
          <w:rFonts w:ascii="Arial" w:eastAsia="Times New Roman" w:hAnsi="Arial" w:cs="Arial"/>
          <w:color w:val="333333"/>
        </w:rPr>
        <w:t>Ilgili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</w:t>
      </w:r>
      <w:proofErr w:type="spellStart"/>
      <w:r w:rsidRPr="00D22AC4">
        <w:rPr>
          <w:rFonts w:ascii="Arial" w:eastAsia="Times New Roman" w:hAnsi="Arial" w:cs="Arial"/>
          <w:color w:val="333333"/>
        </w:rPr>
        <w:t>Ifadelerden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Hangileri Doğrudur?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I. İçerisinde maksimum 100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ml’yi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geçmeyen UN 1011 bütan bulunan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aerosol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püskürtücüler haricinde, sadece gaz veya gaz karışımlarını içeren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aerosol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püskürtücülerin metalden mamul olması gerekir.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II. Metalden mamul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aerosol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püskürtücülerin kapasitesi 500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ml’yi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, sentetik malzeme veya camdan mamul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aerosol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püskürtücülerin kapasitesi 1000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ml’yi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aşmamalıdır.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III. Gaz veya gaz karışımı dışında kimyasal taşınan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aerosol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püskürtücüler metalden, sentetik malzeme ya da camdan olabilir.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IV. Doldurulmuş her bir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aerosol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püskürtücü, piyasaya verilemeden önce tartılarak sızıntı için test edilmelidir.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V. Sadece, zehirli olmayan bileşenler içeren ve 50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ml’yi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aşmayan kapasitedeki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aerosol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püskürtücüler ADR zorunluluklarına tabi değildir.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II ve III   B. I, II ve IV   C. I, III, IV ve V   D. I, II, III ve V   E. Hepsi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38. Aşağıdaki Maddelerden Hangisi Ambalajlama Grubu </w:t>
      </w:r>
      <w:proofErr w:type="spellStart"/>
      <w:r w:rsidRPr="00D22AC4">
        <w:rPr>
          <w:rFonts w:ascii="Arial" w:eastAsia="Times New Roman" w:hAnsi="Arial" w:cs="Arial"/>
          <w:color w:val="333333"/>
        </w:rPr>
        <w:t>II’ye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Atanır?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A. Deri yoluyla zehirliliği LD50 değeri 50 (mg/kg) olan maddeler.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B. Başlangıç kaynama noktası 25°C olan sıvı, alevlenir maddeler.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lastRenderedPageBreak/>
        <w:t>C. Çelik veya alüminyum yüzeylerde, her iki malzemede yapılan testler sonucunda 55 °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C’lik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test sıcaklığında yılda 6.25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mm’yi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geçen bir aşınma hızına sahip madde.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D. Kendiliğinden yanmaya yatkın maddeler (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Piroforik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>).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E. Bulaşıcı madde içerme olasılığının düşük olduğuna inanılan tıbbı/klinik atık.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39. Aşağıdakilerden Hangileri “Su </w:t>
      </w:r>
      <w:proofErr w:type="spellStart"/>
      <w:r w:rsidRPr="00D22AC4">
        <w:rPr>
          <w:rFonts w:ascii="Arial" w:eastAsia="Times New Roman" w:hAnsi="Arial" w:cs="Arial"/>
          <w:color w:val="333333"/>
        </w:rPr>
        <w:t>Ile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Temas Ettiğinde Alevlenir Gazlar Açığa Çıkartan, Katı Alevlenir” Tehlikeli Maddelerdir?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SW sınıflandırma koduna sahip maddeler.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II. WS sınıflandırma koduna sahip maddeler.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UN 3393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IV. UN 3209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UN 2210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I, II ve III   B. I, II ve IV   C.II ve IV   D. Hiçbiri   E.Hepsi</w:t>
      </w:r>
    </w:p>
    <w:p w:rsidR="00D22AC4" w:rsidRPr="00D22AC4" w:rsidRDefault="00D22AC4" w:rsidP="00D22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D22AC4">
        <w:rPr>
          <w:rFonts w:ascii="Arial" w:eastAsia="Times New Roman" w:hAnsi="Arial" w:cs="Arial"/>
          <w:color w:val="333333"/>
          <w:sz w:val="19"/>
          <w:szCs w:val="19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6270" cy="1906270"/>
            <wp:effectExtent l="19050" t="0" r="0" b="0"/>
            <wp:docPr id="1024" name="Resim 1024" descr="http://tmgakademi.com/img/sections/slider/8temmuz-adr-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http://tmgakademi.com/img/sections/slider/8temmuz-adr-4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299" w:line="380" w:lineRule="atLeast"/>
        <w:outlineLvl w:val="5"/>
        <w:rPr>
          <w:rFonts w:ascii="Arial" w:eastAsia="Times New Roman" w:hAnsi="Arial" w:cs="Arial"/>
          <w:color w:val="333333"/>
        </w:rPr>
      </w:pPr>
      <w:r w:rsidRPr="00D22AC4">
        <w:rPr>
          <w:rFonts w:ascii="Arial" w:eastAsia="Times New Roman" w:hAnsi="Arial" w:cs="Arial"/>
          <w:color w:val="333333"/>
        </w:rPr>
        <w:t xml:space="preserve">40. Radyoaktif Maddeler </w:t>
      </w:r>
      <w:proofErr w:type="spellStart"/>
      <w:r w:rsidRPr="00D22AC4">
        <w:rPr>
          <w:rFonts w:ascii="Arial" w:eastAsia="Times New Roman" w:hAnsi="Arial" w:cs="Arial"/>
          <w:color w:val="333333"/>
        </w:rPr>
        <w:t>Içeren</w:t>
      </w:r>
      <w:proofErr w:type="spellEnd"/>
      <w:r w:rsidRPr="00D22AC4">
        <w:rPr>
          <w:rFonts w:ascii="Arial" w:eastAsia="Times New Roman" w:hAnsi="Arial" w:cs="Arial"/>
          <w:color w:val="333333"/>
        </w:rPr>
        <w:t xml:space="preserve"> Aşağıdaki Ambalajlardan Hangisi/Hangileri Yukarıdaki Resimde Gösterilen Yonca (</w:t>
      </w:r>
      <w:proofErr w:type="spellStart"/>
      <w:r w:rsidRPr="00D22AC4">
        <w:rPr>
          <w:rFonts w:ascii="Arial" w:eastAsia="Times New Roman" w:hAnsi="Arial" w:cs="Arial"/>
          <w:color w:val="333333"/>
        </w:rPr>
        <w:t>Trefoil</w:t>
      </w:r>
      <w:proofErr w:type="spellEnd"/>
      <w:r w:rsidRPr="00D22AC4">
        <w:rPr>
          <w:rFonts w:ascii="Arial" w:eastAsia="Times New Roman" w:hAnsi="Arial" w:cs="Arial"/>
          <w:color w:val="333333"/>
        </w:rPr>
        <w:t>) Sembolünü Taşımalıdır?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I. Tip IP-1 uygun her ambalaj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II. Tip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A’ya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uygun her ambalaj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III. Tip B(M)’ye uygun her ambalaj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IV. Tip </w:t>
      </w:r>
      <w:proofErr w:type="spell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C’ye</w:t>
      </w:r>
      <w:proofErr w:type="spellEnd"/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uygun her ambalaj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V. Tip IP-2 uygun her ambalaj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b/>
          <w:bCs/>
          <w:color w:val="333333"/>
          <w:sz w:val="19"/>
        </w:rPr>
        <w:t>A. II, III ve V   B. III ve IV   C. I, II ve III   D. I, III ve V   E. Sadece V</w:t>
      </w:r>
    </w:p>
    <w:p w:rsid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299" w:line="240" w:lineRule="auto"/>
        <w:outlineLvl w:val="3"/>
        <w:rPr>
          <w:rFonts w:ascii="Arial" w:eastAsia="Times New Roman" w:hAnsi="Arial" w:cs="Arial"/>
          <w:color w:val="FF0000"/>
          <w:sz w:val="33"/>
          <w:szCs w:val="33"/>
          <w:bdr w:val="single" w:sz="2" w:space="0" w:color="E1E1E1" w:frame="1"/>
          <w:shd w:val="clear" w:color="auto" w:fill="FFFFFF"/>
        </w:rPr>
      </w:pPr>
      <w:r w:rsidRPr="00D22AC4">
        <w:rPr>
          <w:rFonts w:ascii="Arial" w:eastAsia="Times New Roman" w:hAnsi="Arial" w:cs="Arial"/>
          <w:color w:val="FF0000"/>
          <w:sz w:val="33"/>
          <w:szCs w:val="33"/>
          <w:bdr w:val="single" w:sz="2" w:space="0" w:color="E1E1E1" w:frame="1"/>
          <w:shd w:val="clear" w:color="auto" w:fill="FFFFFF"/>
        </w:rPr>
        <w:lastRenderedPageBreak/>
        <w:t>8 Temmuz 2017 TMGD Sınav Soru Ve Cevapları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1. E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                                                        38-</w:t>
      </w:r>
      <w:r w:rsidRPr="00D22AC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gramStart"/>
      <w:r w:rsidRPr="00D22AC4">
        <w:rPr>
          <w:rFonts w:ascii="Arial" w:eastAsia="Times New Roman" w:hAnsi="Arial" w:cs="Arial"/>
          <w:color w:val="333333"/>
          <w:sz w:val="19"/>
          <w:szCs w:val="19"/>
        </w:rPr>
        <w:t>E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       39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</w:rPr>
        <w:t xml:space="preserve"> – B          40- B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2. E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3. E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4.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5.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6.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7. H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8.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9.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10.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11.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12.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13.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14.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15.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16.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17.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18.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19.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20.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21.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22. B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23.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24.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25. A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26.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27. H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28.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29.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30. B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31.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32. D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33. B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34.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35. C</w:t>
      </w:r>
    </w:p>
    <w:p w:rsidR="00D22AC4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36. E</w:t>
      </w:r>
    </w:p>
    <w:p w:rsidR="00E24569" w:rsidRPr="00D22AC4" w:rsidRDefault="00D22AC4" w:rsidP="00D22AC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D22AC4">
        <w:rPr>
          <w:rFonts w:ascii="Arial" w:eastAsia="Times New Roman" w:hAnsi="Arial" w:cs="Arial"/>
          <w:color w:val="333333"/>
          <w:sz w:val="19"/>
          <w:szCs w:val="19"/>
        </w:rPr>
        <w:t>37. C</w:t>
      </w:r>
    </w:p>
    <w:sectPr w:rsidR="00E24569" w:rsidRPr="00D22AC4" w:rsidSect="00D1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500AB"/>
    <w:multiLevelType w:val="multilevel"/>
    <w:tmpl w:val="31C4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24569"/>
    <w:rsid w:val="00D143BF"/>
    <w:rsid w:val="00D22AC4"/>
    <w:rsid w:val="00E2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BF"/>
  </w:style>
  <w:style w:type="paragraph" w:styleId="Balk2">
    <w:name w:val="heading 2"/>
    <w:basedOn w:val="Normal"/>
    <w:link w:val="Balk2Char"/>
    <w:uiPriority w:val="9"/>
    <w:qFormat/>
    <w:rsid w:val="00E24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rsid w:val="00E2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E245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6">
    <w:name w:val="heading 6"/>
    <w:basedOn w:val="Normal"/>
    <w:link w:val="Balk6Char"/>
    <w:uiPriority w:val="9"/>
    <w:qFormat/>
    <w:rsid w:val="00E245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24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4Char">
    <w:name w:val="Başlık 4 Char"/>
    <w:basedOn w:val="VarsaylanParagrafYazTipi"/>
    <w:link w:val="Balk4"/>
    <w:uiPriority w:val="9"/>
    <w:rsid w:val="00E245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E245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rsid w:val="00E2456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2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E245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E24569"/>
    <w:rPr>
      <w:rFonts w:ascii="Arial" w:eastAsia="Times New Roman" w:hAnsi="Arial" w:cs="Arial"/>
      <w:vanish/>
      <w:sz w:val="16"/>
      <w:szCs w:val="16"/>
    </w:rPr>
  </w:style>
  <w:style w:type="character" w:styleId="Gl">
    <w:name w:val="Strong"/>
    <w:basedOn w:val="VarsaylanParagrafYazTipi"/>
    <w:uiPriority w:val="22"/>
    <w:qFormat/>
    <w:rsid w:val="00E24569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E245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E24569"/>
    <w:rPr>
      <w:rFonts w:ascii="Arial" w:eastAsia="Times New Roman" w:hAnsi="Arial" w:cs="Arial"/>
      <w:vanish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3326</Words>
  <Characters>18962</Characters>
  <Application>Microsoft Office Word</Application>
  <DocSecurity>0</DocSecurity>
  <Lines>158</Lines>
  <Paragraphs>44</Paragraphs>
  <ScaleCrop>false</ScaleCrop>
  <Company/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2018-01-29T13:27:00Z</dcterms:created>
  <dcterms:modified xsi:type="dcterms:W3CDTF">2018-01-29T13:45:00Z</dcterms:modified>
</cp:coreProperties>
</file>